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579"/>
        <w:gridCol w:w="1250"/>
        <w:gridCol w:w="915"/>
        <w:gridCol w:w="2404"/>
        <w:gridCol w:w="1336"/>
        <w:gridCol w:w="1822"/>
      </w:tblGrid>
      <w:tr w:rsidR="003B5EBC" w:rsidRPr="003B5EBC">
        <w:trPr>
          <w:trHeight w:val="945"/>
          <w:jc w:val="center"/>
        </w:trPr>
        <w:tc>
          <w:tcPr>
            <w:tcW w:w="0" w:type="auto"/>
            <w:gridSpan w:val="6"/>
            <w:tcBorders>
              <w:top w:val="nil"/>
              <w:left w:val="nil"/>
              <w:bottom w:val="single" w:sz="8" w:space="0" w:color="auto"/>
              <w:right w:val="nil"/>
            </w:tcBorders>
            <w:shd w:val="clear" w:color="auto" w:fill="auto"/>
            <w:noWrap/>
            <w:vAlign w:val="center"/>
            <w:hideMark/>
          </w:tcPr>
          <w:p w:rsidR="003B5EBC" w:rsidRPr="003B5EBC" w:rsidRDefault="003B5EBC" w:rsidP="003B5EBC">
            <w:pPr>
              <w:widowControl/>
              <w:jc w:val="left"/>
              <w:rPr>
                <w:rFonts w:ascii="楷体_GB2312" w:eastAsia="楷体_GB2312" w:hAnsi="楷体_GB2312" w:cs="宋体"/>
                <w:b/>
                <w:kern w:val="0"/>
                <w:sz w:val="28"/>
                <w:szCs w:val="28"/>
              </w:rPr>
            </w:pPr>
            <w:r w:rsidRPr="003B5EBC">
              <w:rPr>
                <w:rFonts w:ascii="楷体_GB2312" w:eastAsia="楷体_GB2312" w:hAnsi="楷体_GB2312" w:cs="宋体" w:hint="eastAsia"/>
                <w:b/>
                <w:kern w:val="0"/>
                <w:sz w:val="28"/>
                <w:szCs w:val="28"/>
              </w:rPr>
              <w:t>附表：</w:t>
            </w:r>
          </w:p>
          <w:p w:rsidR="003B5EBC" w:rsidRPr="003B5EBC" w:rsidRDefault="003B5EBC" w:rsidP="003B5EBC">
            <w:pPr>
              <w:widowControl/>
              <w:spacing w:afterLines="100" w:after="312"/>
              <w:jc w:val="center"/>
              <w:rPr>
                <w:rFonts w:ascii="华文中宋" w:eastAsia="华文中宋" w:hAnsi="华文中宋" w:cs="宋体" w:hint="eastAsia"/>
                <w:b/>
                <w:bCs/>
                <w:color w:val="000000"/>
                <w:kern w:val="0"/>
                <w:sz w:val="36"/>
                <w:szCs w:val="36"/>
              </w:rPr>
            </w:pPr>
            <w:r w:rsidRPr="003B5EBC">
              <w:rPr>
                <w:rFonts w:ascii="华文中宋" w:eastAsia="华文中宋" w:hAnsi="华文中宋" w:cs="宋体" w:hint="eastAsia"/>
                <w:b/>
                <w:bCs/>
                <w:color w:val="000000"/>
                <w:kern w:val="0"/>
                <w:sz w:val="36"/>
                <w:szCs w:val="36"/>
              </w:rPr>
              <w:t>上海市2013年节能减排专项资金安排计划（第十批）</w:t>
            </w:r>
          </w:p>
        </w:tc>
      </w:tr>
      <w:tr w:rsidR="003B5EBC" w:rsidRPr="003B5EBC">
        <w:trPr>
          <w:trHeight w:val="6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B5EBC" w:rsidRPr="003B5EBC" w:rsidRDefault="003B5EBC" w:rsidP="003B5EBC">
            <w:pPr>
              <w:widowControl/>
              <w:jc w:val="center"/>
              <w:rPr>
                <w:rFonts w:ascii="楷体_GB2312" w:eastAsia="楷体_GB2312" w:hAnsi="宋体" w:cs="宋体" w:hint="eastAsia"/>
                <w:b/>
                <w:color w:val="000000"/>
                <w:kern w:val="0"/>
                <w:sz w:val="24"/>
                <w:szCs w:val="24"/>
              </w:rPr>
            </w:pPr>
            <w:r w:rsidRPr="003B5EBC">
              <w:rPr>
                <w:rFonts w:ascii="楷体_GB2312" w:eastAsia="楷体_GB2312" w:hAnsi="宋体" w:cs="宋体" w:hint="eastAsia"/>
                <w:b/>
                <w:color w:val="000000"/>
                <w:kern w:val="0"/>
                <w:sz w:val="24"/>
                <w:szCs w:val="24"/>
              </w:rPr>
              <w:t>序号</w:t>
            </w:r>
          </w:p>
        </w:tc>
        <w:tc>
          <w:tcPr>
            <w:tcW w:w="1588" w:type="dxa"/>
            <w:tcBorders>
              <w:top w:val="nil"/>
              <w:left w:val="nil"/>
              <w:bottom w:val="single" w:sz="4" w:space="0" w:color="auto"/>
              <w:right w:val="single" w:sz="4" w:space="0" w:color="auto"/>
            </w:tcBorders>
            <w:shd w:val="clear" w:color="auto" w:fill="auto"/>
            <w:noWrap/>
            <w:vAlign w:val="center"/>
            <w:hideMark/>
          </w:tcPr>
          <w:p w:rsidR="003B5EBC" w:rsidRPr="003B5EBC" w:rsidRDefault="003B5EBC" w:rsidP="003B5EBC">
            <w:pPr>
              <w:widowControl/>
              <w:jc w:val="center"/>
              <w:rPr>
                <w:rFonts w:ascii="楷体_GB2312" w:eastAsia="楷体_GB2312" w:hAnsi="宋体" w:cs="宋体" w:hint="eastAsia"/>
                <w:b/>
                <w:color w:val="000000"/>
                <w:kern w:val="0"/>
                <w:sz w:val="24"/>
                <w:szCs w:val="24"/>
              </w:rPr>
            </w:pPr>
            <w:r w:rsidRPr="003B5EBC">
              <w:rPr>
                <w:rFonts w:ascii="楷体_GB2312" w:eastAsia="楷体_GB2312" w:hAnsi="宋体" w:cs="宋体" w:hint="eastAsia"/>
                <w:b/>
                <w:color w:val="000000"/>
                <w:kern w:val="0"/>
                <w:sz w:val="24"/>
                <w:szCs w:val="24"/>
              </w:rPr>
              <w:t>支持方向</w:t>
            </w:r>
          </w:p>
        </w:tc>
        <w:tc>
          <w:tcPr>
            <w:tcW w:w="1143"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jc w:val="center"/>
              <w:rPr>
                <w:rFonts w:ascii="楷体_GB2312" w:eastAsia="楷体_GB2312" w:hAnsi="宋体" w:cs="宋体" w:hint="eastAsia"/>
                <w:b/>
                <w:color w:val="000000"/>
                <w:kern w:val="0"/>
                <w:sz w:val="24"/>
                <w:szCs w:val="24"/>
              </w:rPr>
            </w:pPr>
            <w:r w:rsidRPr="003B5EBC">
              <w:rPr>
                <w:rFonts w:ascii="楷体_GB2312" w:eastAsia="楷体_GB2312" w:hAnsi="宋体" w:cs="宋体" w:hint="eastAsia"/>
                <w:b/>
                <w:color w:val="000000"/>
                <w:kern w:val="0"/>
                <w:sz w:val="24"/>
                <w:szCs w:val="24"/>
              </w:rPr>
              <w:t>金额</w:t>
            </w:r>
          </w:p>
          <w:p w:rsidR="003B5EBC" w:rsidRPr="003B5EBC" w:rsidRDefault="003B5EBC" w:rsidP="003B5EBC">
            <w:pPr>
              <w:widowControl/>
              <w:jc w:val="center"/>
              <w:rPr>
                <w:rFonts w:ascii="楷体_GB2312" w:eastAsia="楷体_GB2312" w:hAnsi="宋体" w:cs="宋体" w:hint="eastAsia"/>
                <w:b/>
                <w:color w:val="000000"/>
                <w:kern w:val="0"/>
                <w:sz w:val="24"/>
                <w:szCs w:val="24"/>
              </w:rPr>
            </w:pPr>
            <w:r w:rsidRPr="003B5EBC">
              <w:rPr>
                <w:rFonts w:ascii="楷体_GB2312" w:eastAsia="楷体_GB2312" w:hAnsi="宋体" w:cs="宋体" w:hint="eastAsia"/>
                <w:b/>
                <w:color w:val="000000"/>
                <w:kern w:val="0"/>
                <w:sz w:val="24"/>
                <w:szCs w:val="24"/>
              </w:rPr>
              <w:t>（万元）</w:t>
            </w:r>
          </w:p>
        </w:tc>
        <w:tc>
          <w:tcPr>
            <w:tcW w:w="3118" w:type="dxa"/>
            <w:tcBorders>
              <w:top w:val="nil"/>
              <w:left w:val="nil"/>
              <w:bottom w:val="single" w:sz="4" w:space="0" w:color="auto"/>
              <w:right w:val="single" w:sz="4" w:space="0" w:color="auto"/>
            </w:tcBorders>
            <w:shd w:val="clear" w:color="auto" w:fill="auto"/>
            <w:noWrap/>
            <w:vAlign w:val="center"/>
            <w:hideMark/>
          </w:tcPr>
          <w:p w:rsidR="003B5EBC" w:rsidRPr="003B5EBC" w:rsidRDefault="003B5EBC" w:rsidP="003B5EBC">
            <w:pPr>
              <w:widowControl/>
              <w:jc w:val="center"/>
              <w:rPr>
                <w:rFonts w:ascii="楷体_GB2312" w:eastAsia="楷体_GB2312" w:hAnsi="宋体" w:cs="宋体" w:hint="eastAsia"/>
                <w:b/>
                <w:color w:val="000000"/>
                <w:kern w:val="0"/>
                <w:sz w:val="24"/>
                <w:szCs w:val="24"/>
              </w:rPr>
            </w:pPr>
            <w:r w:rsidRPr="003B5EBC">
              <w:rPr>
                <w:rFonts w:ascii="楷体_GB2312" w:eastAsia="楷体_GB2312" w:hAnsi="宋体" w:cs="宋体" w:hint="eastAsia"/>
                <w:b/>
                <w:color w:val="000000"/>
                <w:kern w:val="0"/>
                <w:sz w:val="24"/>
                <w:szCs w:val="24"/>
              </w:rPr>
              <w:t>具体支持内容</w:t>
            </w:r>
          </w:p>
        </w:tc>
        <w:tc>
          <w:tcPr>
            <w:tcW w:w="1701" w:type="dxa"/>
            <w:tcBorders>
              <w:top w:val="nil"/>
              <w:left w:val="nil"/>
              <w:bottom w:val="single" w:sz="4" w:space="0" w:color="auto"/>
              <w:right w:val="single" w:sz="4" w:space="0" w:color="auto"/>
            </w:tcBorders>
            <w:shd w:val="clear" w:color="auto" w:fill="auto"/>
            <w:noWrap/>
            <w:vAlign w:val="center"/>
            <w:hideMark/>
          </w:tcPr>
          <w:p w:rsidR="003B5EBC" w:rsidRPr="003B5EBC" w:rsidRDefault="003B5EBC" w:rsidP="003B5EBC">
            <w:pPr>
              <w:widowControl/>
              <w:jc w:val="center"/>
              <w:rPr>
                <w:rFonts w:ascii="楷体_GB2312" w:eastAsia="楷体_GB2312" w:hAnsi="宋体" w:cs="宋体" w:hint="eastAsia"/>
                <w:b/>
                <w:color w:val="000000"/>
                <w:kern w:val="0"/>
                <w:sz w:val="24"/>
                <w:szCs w:val="24"/>
              </w:rPr>
            </w:pPr>
            <w:r w:rsidRPr="003B5EBC">
              <w:rPr>
                <w:rFonts w:ascii="楷体_GB2312" w:eastAsia="楷体_GB2312" w:hAnsi="宋体" w:cs="宋体" w:hint="eastAsia"/>
                <w:b/>
                <w:color w:val="000000"/>
                <w:kern w:val="0"/>
                <w:sz w:val="24"/>
                <w:szCs w:val="24"/>
              </w:rPr>
              <w:t>负责部门</w:t>
            </w:r>
          </w:p>
        </w:tc>
        <w:tc>
          <w:tcPr>
            <w:tcW w:w="2346" w:type="dxa"/>
            <w:tcBorders>
              <w:top w:val="nil"/>
              <w:left w:val="nil"/>
              <w:bottom w:val="single" w:sz="4" w:space="0" w:color="auto"/>
              <w:right w:val="single" w:sz="8" w:space="0" w:color="auto"/>
            </w:tcBorders>
            <w:shd w:val="clear" w:color="auto" w:fill="auto"/>
            <w:noWrap/>
            <w:vAlign w:val="center"/>
            <w:hideMark/>
          </w:tcPr>
          <w:p w:rsidR="003B5EBC" w:rsidRPr="003B5EBC" w:rsidRDefault="003B5EBC" w:rsidP="003B5EBC">
            <w:pPr>
              <w:widowControl/>
              <w:jc w:val="center"/>
              <w:rPr>
                <w:rFonts w:ascii="楷体_GB2312" w:eastAsia="楷体_GB2312" w:hAnsi="宋体" w:cs="宋体" w:hint="eastAsia"/>
                <w:b/>
                <w:color w:val="000000"/>
                <w:kern w:val="0"/>
                <w:sz w:val="24"/>
                <w:szCs w:val="24"/>
              </w:rPr>
            </w:pPr>
            <w:r w:rsidRPr="003B5EBC">
              <w:rPr>
                <w:rFonts w:ascii="楷体_GB2312" w:eastAsia="楷体_GB2312" w:hAnsi="宋体" w:cs="宋体" w:hint="eastAsia"/>
                <w:b/>
                <w:color w:val="000000"/>
                <w:kern w:val="0"/>
                <w:sz w:val="24"/>
                <w:szCs w:val="24"/>
              </w:rPr>
              <w:t>使用依据</w:t>
            </w:r>
          </w:p>
        </w:tc>
      </w:tr>
      <w:tr w:rsidR="003B5EBC" w:rsidRPr="003B5EBC">
        <w:trPr>
          <w:trHeight w:val="1887"/>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B5EBC" w:rsidRPr="003B5EBC" w:rsidRDefault="003B5EBC" w:rsidP="003B5EBC">
            <w:pPr>
              <w:widowControl/>
              <w:jc w:val="center"/>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1</w:t>
            </w:r>
          </w:p>
        </w:tc>
        <w:tc>
          <w:tcPr>
            <w:tcW w:w="1588"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产业结构调整</w:t>
            </w:r>
          </w:p>
        </w:tc>
        <w:tc>
          <w:tcPr>
            <w:tcW w:w="1143"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jc w:val="center"/>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6132</w:t>
            </w:r>
          </w:p>
        </w:tc>
        <w:tc>
          <w:tcPr>
            <w:tcW w:w="3118"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ind w:firstLineChars="150" w:firstLine="360"/>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安排</w:t>
            </w:r>
            <w:proofErr w:type="gramStart"/>
            <w:r w:rsidRPr="003B5EBC">
              <w:rPr>
                <w:rFonts w:ascii="楷体_GB2312" w:eastAsia="楷体_GB2312" w:hAnsi="宋体" w:cs="宋体" w:hint="eastAsia"/>
                <w:color w:val="000000"/>
                <w:kern w:val="0"/>
                <w:sz w:val="24"/>
                <w:szCs w:val="24"/>
              </w:rPr>
              <w:t>宝山南</w:t>
            </w:r>
            <w:proofErr w:type="gramEnd"/>
            <w:r w:rsidRPr="003B5EBC">
              <w:rPr>
                <w:rFonts w:ascii="楷体_GB2312" w:eastAsia="楷体_GB2312" w:hAnsi="宋体" w:cs="宋体" w:hint="eastAsia"/>
                <w:color w:val="000000"/>
                <w:kern w:val="0"/>
                <w:sz w:val="24"/>
                <w:szCs w:val="24"/>
              </w:rPr>
              <w:t>大三期重点区域调整专项第一笔70%补助资金2632万元；</w:t>
            </w:r>
          </w:p>
          <w:p w:rsidR="003B5EBC" w:rsidRPr="003B5EBC" w:rsidRDefault="003B5EBC" w:rsidP="003B5EBC">
            <w:pPr>
              <w:widowControl/>
              <w:ind w:firstLineChars="150" w:firstLine="360"/>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安排青浦区华新石材重点行业调整专项第一笔70%补助资金3500万元；</w:t>
            </w:r>
          </w:p>
          <w:p w:rsidR="003B5EBC" w:rsidRPr="003B5EBC" w:rsidRDefault="003B5EBC" w:rsidP="003B5EBC">
            <w:pPr>
              <w:widowControl/>
              <w:ind w:firstLineChars="150" w:firstLine="360"/>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共计6132万元；</w:t>
            </w:r>
          </w:p>
        </w:tc>
        <w:tc>
          <w:tcPr>
            <w:tcW w:w="1701"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市经济信息化委</w:t>
            </w:r>
          </w:p>
        </w:tc>
        <w:tc>
          <w:tcPr>
            <w:tcW w:w="2346" w:type="dxa"/>
            <w:tcBorders>
              <w:top w:val="nil"/>
              <w:left w:val="nil"/>
              <w:bottom w:val="single" w:sz="4" w:space="0" w:color="auto"/>
              <w:right w:val="single" w:sz="8" w:space="0" w:color="auto"/>
            </w:tcBorders>
            <w:shd w:val="clear" w:color="auto" w:fill="auto"/>
            <w:vAlign w:val="center"/>
            <w:hideMark/>
          </w:tcPr>
          <w:p w:rsidR="003B5EBC" w:rsidRPr="003B5EBC" w:rsidRDefault="003B5EBC" w:rsidP="003B5EBC">
            <w:pPr>
              <w:widowControl/>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《上海市产业结构调整专项补助办法》（沪府办发〔2012〕18号）</w:t>
            </w:r>
          </w:p>
        </w:tc>
      </w:tr>
      <w:tr w:rsidR="003B5EBC" w:rsidRPr="003B5EBC">
        <w:trPr>
          <w:trHeight w:val="951"/>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B5EBC" w:rsidRPr="003B5EBC" w:rsidRDefault="003B5EBC" w:rsidP="003B5EBC">
            <w:pPr>
              <w:widowControl/>
              <w:jc w:val="center"/>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2</w:t>
            </w:r>
          </w:p>
        </w:tc>
        <w:tc>
          <w:tcPr>
            <w:tcW w:w="1588"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清洁生产专项</w:t>
            </w:r>
          </w:p>
        </w:tc>
        <w:tc>
          <w:tcPr>
            <w:tcW w:w="1143"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jc w:val="center"/>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900</w:t>
            </w:r>
          </w:p>
        </w:tc>
        <w:tc>
          <w:tcPr>
            <w:tcW w:w="3118"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ind w:firstLineChars="150" w:firstLine="360"/>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安排2012年15个清洁生产中高费项目补贴资金900万元</w:t>
            </w:r>
          </w:p>
        </w:tc>
        <w:tc>
          <w:tcPr>
            <w:tcW w:w="1701"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市经济信息化委</w:t>
            </w:r>
          </w:p>
        </w:tc>
        <w:tc>
          <w:tcPr>
            <w:tcW w:w="2346" w:type="dxa"/>
            <w:tcBorders>
              <w:top w:val="nil"/>
              <w:left w:val="nil"/>
              <w:bottom w:val="single" w:sz="4" w:space="0" w:color="auto"/>
              <w:right w:val="single" w:sz="8" w:space="0" w:color="auto"/>
            </w:tcBorders>
            <w:shd w:val="clear" w:color="auto" w:fill="auto"/>
            <w:vAlign w:val="center"/>
            <w:hideMark/>
          </w:tcPr>
          <w:p w:rsidR="003B5EBC" w:rsidRPr="003B5EBC" w:rsidRDefault="003B5EBC" w:rsidP="003B5EBC">
            <w:pPr>
              <w:widowControl/>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《上海市鼓励企业实施清洁生产专项扶持实施办法》（</w:t>
            </w:r>
            <w:proofErr w:type="gramStart"/>
            <w:r w:rsidRPr="003B5EBC">
              <w:rPr>
                <w:rFonts w:ascii="楷体_GB2312" w:eastAsia="楷体_GB2312" w:hAnsi="宋体" w:cs="宋体" w:hint="eastAsia"/>
                <w:color w:val="000000"/>
                <w:kern w:val="0"/>
                <w:sz w:val="24"/>
                <w:szCs w:val="24"/>
              </w:rPr>
              <w:t>沪经节</w:t>
            </w:r>
            <w:proofErr w:type="gramEnd"/>
            <w:r w:rsidRPr="003B5EBC">
              <w:rPr>
                <w:rFonts w:ascii="楷体_GB2312" w:eastAsia="楷体_GB2312" w:hAnsi="宋体" w:cs="宋体" w:hint="eastAsia"/>
                <w:color w:val="000000"/>
                <w:kern w:val="0"/>
                <w:sz w:val="24"/>
                <w:szCs w:val="24"/>
              </w:rPr>
              <w:t>〔2009〕502号）</w:t>
            </w:r>
          </w:p>
        </w:tc>
      </w:tr>
      <w:tr w:rsidR="003B5EBC" w:rsidRPr="003B5EBC">
        <w:trPr>
          <w:trHeight w:val="197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B5EBC" w:rsidRPr="003B5EBC" w:rsidRDefault="003B5EBC" w:rsidP="003B5EBC">
            <w:pPr>
              <w:widowControl/>
              <w:jc w:val="center"/>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3</w:t>
            </w:r>
          </w:p>
        </w:tc>
        <w:tc>
          <w:tcPr>
            <w:tcW w:w="1588"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合同能源管理</w:t>
            </w:r>
          </w:p>
        </w:tc>
        <w:tc>
          <w:tcPr>
            <w:tcW w:w="1143"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jc w:val="center"/>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1911</w:t>
            </w:r>
          </w:p>
        </w:tc>
        <w:tc>
          <w:tcPr>
            <w:tcW w:w="3118"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ind w:firstLineChars="150" w:firstLine="360"/>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安排2013年47个项目节能量奖励地方财政补贴资金1708万元；</w:t>
            </w:r>
          </w:p>
          <w:p w:rsidR="003B5EBC" w:rsidRPr="003B5EBC" w:rsidRDefault="003B5EBC" w:rsidP="003B5EBC">
            <w:pPr>
              <w:widowControl/>
              <w:ind w:leftChars="150" w:left="315"/>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前期诊断补贴168万元；</w:t>
            </w:r>
          </w:p>
          <w:p w:rsidR="003B5EBC" w:rsidRPr="003B5EBC" w:rsidRDefault="003B5EBC" w:rsidP="003B5EBC">
            <w:pPr>
              <w:widowControl/>
              <w:ind w:firstLineChars="150" w:firstLine="360"/>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第三方审核机构</w:t>
            </w:r>
            <w:proofErr w:type="gramStart"/>
            <w:r w:rsidRPr="003B5EBC">
              <w:rPr>
                <w:rFonts w:ascii="楷体_GB2312" w:eastAsia="楷体_GB2312" w:hAnsi="宋体" w:cs="宋体" w:hint="eastAsia"/>
                <w:color w:val="000000"/>
                <w:kern w:val="0"/>
                <w:sz w:val="24"/>
                <w:szCs w:val="24"/>
              </w:rPr>
              <w:t>审费用</w:t>
            </w:r>
            <w:proofErr w:type="gramEnd"/>
            <w:r w:rsidRPr="003B5EBC">
              <w:rPr>
                <w:rFonts w:ascii="楷体_GB2312" w:eastAsia="楷体_GB2312" w:hAnsi="宋体" w:cs="宋体" w:hint="eastAsia"/>
                <w:color w:val="000000"/>
                <w:kern w:val="0"/>
                <w:sz w:val="24"/>
                <w:szCs w:val="24"/>
              </w:rPr>
              <w:t>35万元；</w:t>
            </w:r>
          </w:p>
          <w:p w:rsidR="003B5EBC" w:rsidRPr="003B5EBC" w:rsidRDefault="003B5EBC" w:rsidP="003B5EBC">
            <w:pPr>
              <w:widowControl/>
              <w:ind w:leftChars="150" w:left="315"/>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共计1911万元</w:t>
            </w:r>
          </w:p>
        </w:tc>
        <w:tc>
          <w:tcPr>
            <w:tcW w:w="1701"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市经济信息化委</w:t>
            </w:r>
          </w:p>
        </w:tc>
        <w:tc>
          <w:tcPr>
            <w:tcW w:w="2346" w:type="dxa"/>
            <w:tcBorders>
              <w:top w:val="nil"/>
              <w:left w:val="nil"/>
              <w:bottom w:val="single" w:sz="4" w:space="0" w:color="auto"/>
              <w:right w:val="single" w:sz="8" w:space="0" w:color="auto"/>
            </w:tcBorders>
            <w:shd w:val="clear" w:color="auto" w:fill="auto"/>
            <w:vAlign w:val="center"/>
            <w:hideMark/>
          </w:tcPr>
          <w:p w:rsidR="003B5EBC" w:rsidRPr="003B5EBC" w:rsidRDefault="003B5EBC" w:rsidP="003B5EBC">
            <w:pPr>
              <w:widowControl/>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《上海市合同能源管理项目财政奖励办法》（</w:t>
            </w:r>
            <w:proofErr w:type="gramStart"/>
            <w:r w:rsidRPr="003B5EBC">
              <w:rPr>
                <w:rFonts w:ascii="楷体_GB2312" w:eastAsia="楷体_GB2312" w:hAnsi="宋体" w:cs="宋体" w:hint="eastAsia"/>
                <w:color w:val="000000"/>
                <w:kern w:val="0"/>
                <w:sz w:val="24"/>
                <w:szCs w:val="24"/>
              </w:rPr>
              <w:t>沪经信</w:t>
            </w:r>
            <w:proofErr w:type="gramEnd"/>
            <w:r w:rsidRPr="003B5EBC">
              <w:rPr>
                <w:rFonts w:ascii="楷体_GB2312" w:eastAsia="楷体_GB2312" w:hAnsi="宋体" w:cs="宋体" w:hint="eastAsia"/>
                <w:color w:val="000000"/>
                <w:kern w:val="0"/>
                <w:sz w:val="24"/>
                <w:szCs w:val="24"/>
              </w:rPr>
              <w:t>法〔2010〕833号）</w:t>
            </w:r>
          </w:p>
        </w:tc>
      </w:tr>
      <w:tr w:rsidR="003B5EBC" w:rsidRPr="003B5EBC">
        <w:trPr>
          <w:trHeight w:val="998"/>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B5EBC" w:rsidRPr="003B5EBC" w:rsidRDefault="003B5EBC" w:rsidP="003B5EBC">
            <w:pPr>
              <w:widowControl/>
              <w:jc w:val="center"/>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4</w:t>
            </w:r>
          </w:p>
        </w:tc>
        <w:tc>
          <w:tcPr>
            <w:tcW w:w="1588"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节能技改专项</w:t>
            </w:r>
          </w:p>
        </w:tc>
        <w:tc>
          <w:tcPr>
            <w:tcW w:w="1143"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jc w:val="center"/>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1324</w:t>
            </w:r>
          </w:p>
        </w:tc>
        <w:tc>
          <w:tcPr>
            <w:tcW w:w="3118"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ind w:firstLineChars="100" w:firstLine="240"/>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 xml:space="preserve"> 安排2013年38个节能技术改造项目第一笔50％补贴资金1324万元；</w:t>
            </w:r>
          </w:p>
        </w:tc>
        <w:tc>
          <w:tcPr>
            <w:tcW w:w="1701"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市经济信息化委</w:t>
            </w:r>
          </w:p>
        </w:tc>
        <w:tc>
          <w:tcPr>
            <w:tcW w:w="2346" w:type="dxa"/>
            <w:tcBorders>
              <w:top w:val="nil"/>
              <w:left w:val="nil"/>
              <w:bottom w:val="single" w:sz="4" w:space="0" w:color="auto"/>
              <w:right w:val="single" w:sz="8" w:space="0" w:color="auto"/>
            </w:tcBorders>
            <w:shd w:val="clear" w:color="auto" w:fill="auto"/>
            <w:vAlign w:val="center"/>
            <w:hideMark/>
          </w:tcPr>
          <w:p w:rsidR="003B5EBC" w:rsidRPr="003B5EBC" w:rsidRDefault="003B5EBC" w:rsidP="003B5EBC">
            <w:pPr>
              <w:widowControl/>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《上海市节能技术改造项目专项扶持实施办法》（</w:t>
            </w:r>
            <w:proofErr w:type="gramStart"/>
            <w:r w:rsidRPr="003B5EBC">
              <w:rPr>
                <w:rFonts w:ascii="楷体_GB2312" w:eastAsia="楷体_GB2312" w:hAnsi="宋体" w:cs="宋体" w:hint="eastAsia"/>
                <w:color w:val="000000"/>
                <w:kern w:val="0"/>
                <w:sz w:val="24"/>
                <w:szCs w:val="24"/>
              </w:rPr>
              <w:t>沪经信</w:t>
            </w:r>
            <w:proofErr w:type="gramEnd"/>
            <w:r w:rsidRPr="003B5EBC">
              <w:rPr>
                <w:rFonts w:ascii="楷体_GB2312" w:eastAsia="楷体_GB2312" w:hAnsi="宋体" w:cs="宋体" w:hint="eastAsia"/>
                <w:color w:val="000000"/>
                <w:kern w:val="0"/>
                <w:sz w:val="24"/>
                <w:szCs w:val="24"/>
              </w:rPr>
              <w:t>节〔2008〕484号）</w:t>
            </w:r>
          </w:p>
        </w:tc>
      </w:tr>
      <w:tr w:rsidR="003B5EBC" w:rsidRPr="003B5EBC">
        <w:trPr>
          <w:trHeight w:val="119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B5EBC" w:rsidRPr="003B5EBC" w:rsidRDefault="003B5EBC" w:rsidP="003B5EBC">
            <w:pPr>
              <w:widowControl/>
              <w:jc w:val="center"/>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lastRenderedPageBreak/>
              <w:t>5</w:t>
            </w:r>
          </w:p>
        </w:tc>
        <w:tc>
          <w:tcPr>
            <w:tcW w:w="1588"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高效电机专项</w:t>
            </w:r>
          </w:p>
        </w:tc>
        <w:tc>
          <w:tcPr>
            <w:tcW w:w="1143"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jc w:val="center"/>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37</w:t>
            </w:r>
          </w:p>
        </w:tc>
        <w:tc>
          <w:tcPr>
            <w:tcW w:w="3118"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ind w:firstLineChars="100" w:firstLine="240"/>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 xml:space="preserve"> 安排2013年旧电机回收补贴资金17万元；</w:t>
            </w:r>
          </w:p>
          <w:p w:rsidR="003B5EBC" w:rsidRPr="003B5EBC" w:rsidRDefault="003B5EBC" w:rsidP="003B5EBC">
            <w:pPr>
              <w:widowControl/>
              <w:ind w:firstLineChars="100" w:firstLine="240"/>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 xml:space="preserve"> 安排再制造高效电机补贴资金20万元；</w:t>
            </w:r>
          </w:p>
          <w:p w:rsidR="003B5EBC" w:rsidRPr="003B5EBC" w:rsidRDefault="003B5EBC" w:rsidP="003B5EBC">
            <w:pPr>
              <w:widowControl/>
              <w:ind w:firstLineChars="100" w:firstLine="240"/>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 xml:space="preserve"> 共计37万元</w:t>
            </w:r>
          </w:p>
        </w:tc>
        <w:tc>
          <w:tcPr>
            <w:tcW w:w="1701"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市经济信息化委</w:t>
            </w:r>
          </w:p>
        </w:tc>
        <w:tc>
          <w:tcPr>
            <w:tcW w:w="2346" w:type="dxa"/>
            <w:tcBorders>
              <w:top w:val="nil"/>
              <w:left w:val="nil"/>
              <w:bottom w:val="single" w:sz="4" w:space="0" w:color="auto"/>
              <w:right w:val="single" w:sz="8" w:space="0" w:color="auto"/>
            </w:tcBorders>
            <w:shd w:val="clear" w:color="auto" w:fill="auto"/>
            <w:vAlign w:val="center"/>
            <w:hideMark/>
          </w:tcPr>
          <w:p w:rsidR="003B5EBC" w:rsidRPr="003B5EBC" w:rsidRDefault="003B5EBC" w:rsidP="003B5EBC">
            <w:pPr>
              <w:widowControl/>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《高效电机推广促进高效电机再制造实施细则》（</w:t>
            </w:r>
            <w:proofErr w:type="gramStart"/>
            <w:r w:rsidRPr="003B5EBC">
              <w:rPr>
                <w:rFonts w:ascii="楷体_GB2312" w:eastAsia="楷体_GB2312" w:hAnsi="宋体" w:cs="宋体" w:hint="eastAsia"/>
                <w:color w:val="000000"/>
                <w:kern w:val="0"/>
                <w:sz w:val="24"/>
                <w:szCs w:val="24"/>
              </w:rPr>
              <w:t>沪经信</w:t>
            </w:r>
            <w:proofErr w:type="gramEnd"/>
            <w:r w:rsidRPr="003B5EBC">
              <w:rPr>
                <w:rFonts w:ascii="楷体_GB2312" w:eastAsia="楷体_GB2312" w:hAnsi="宋体" w:cs="宋体" w:hint="eastAsia"/>
                <w:color w:val="000000"/>
                <w:kern w:val="0"/>
                <w:sz w:val="24"/>
                <w:szCs w:val="24"/>
              </w:rPr>
              <w:t>法〔2012〕682号）</w:t>
            </w:r>
          </w:p>
        </w:tc>
      </w:tr>
      <w:tr w:rsidR="003B5EBC" w:rsidRPr="003B5EBC">
        <w:trPr>
          <w:trHeight w:val="119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B5EBC" w:rsidRPr="003B5EBC" w:rsidRDefault="003B5EBC" w:rsidP="003B5EBC">
            <w:pPr>
              <w:widowControl/>
              <w:jc w:val="center"/>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6</w:t>
            </w:r>
          </w:p>
        </w:tc>
        <w:tc>
          <w:tcPr>
            <w:tcW w:w="1588"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分布式功能和燃气空调</w:t>
            </w:r>
          </w:p>
        </w:tc>
        <w:tc>
          <w:tcPr>
            <w:tcW w:w="1143"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jc w:val="center"/>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2047</w:t>
            </w:r>
          </w:p>
        </w:tc>
        <w:tc>
          <w:tcPr>
            <w:tcW w:w="3118"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ind w:firstLineChars="150" w:firstLine="360"/>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安排2013年度建成并投入使用的2个天然气分布式供能项目补贴资金1539万元；6个燃气空调项目补贴资金508万元；</w:t>
            </w:r>
          </w:p>
          <w:p w:rsidR="003B5EBC" w:rsidRPr="003B5EBC" w:rsidRDefault="003B5EBC" w:rsidP="003B5EBC">
            <w:pPr>
              <w:widowControl/>
              <w:ind w:firstLineChars="150" w:firstLine="360"/>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共计2047万元</w:t>
            </w:r>
          </w:p>
        </w:tc>
        <w:tc>
          <w:tcPr>
            <w:tcW w:w="1701"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市建设交通委、市发展改革委</w:t>
            </w:r>
          </w:p>
        </w:tc>
        <w:tc>
          <w:tcPr>
            <w:tcW w:w="2346" w:type="dxa"/>
            <w:tcBorders>
              <w:top w:val="nil"/>
              <w:left w:val="nil"/>
              <w:bottom w:val="single" w:sz="4" w:space="0" w:color="auto"/>
              <w:right w:val="single" w:sz="8" w:space="0" w:color="auto"/>
            </w:tcBorders>
            <w:shd w:val="clear" w:color="auto" w:fill="auto"/>
            <w:vAlign w:val="center"/>
            <w:hideMark/>
          </w:tcPr>
          <w:p w:rsidR="003B5EBC" w:rsidRPr="003B5EBC" w:rsidRDefault="003B5EBC" w:rsidP="003B5EBC">
            <w:pPr>
              <w:widowControl/>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《上海市天然气分布式供能系统和燃气空调发展专项扶持办法》（沪府办发〔2013〕14号）</w:t>
            </w:r>
          </w:p>
        </w:tc>
      </w:tr>
      <w:tr w:rsidR="003B5EBC" w:rsidRPr="003B5EBC">
        <w:trPr>
          <w:trHeight w:val="123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B5EBC" w:rsidRPr="003B5EBC" w:rsidRDefault="003B5EBC" w:rsidP="003B5EBC">
            <w:pPr>
              <w:widowControl/>
              <w:jc w:val="center"/>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7</w:t>
            </w:r>
          </w:p>
        </w:tc>
        <w:tc>
          <w:tcPr>
            <w:tcW w:w="1588"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节能基础工作和能力建设</w:t>
            </w:r>
          </w:p>
        </w:tc>
        <w:tc>
          <w:tcPr>
            <w:tcW w:w="1143"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jc w:val="center"/>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1017</w:t>
            </w:r>
          </w:p>
        </w:tc>
        <w:tc>
          <w:tcPr>
            <w:tcW w:w="3118"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ind w:firstLineChars="150" w:firstLine="360"/>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安排2011年度2个结转项目一次性全额补贴资金49万元；</w:t>
            </w:r>
          </w:p>
          <w:p w:rsidR="003B5EBC" w:rsidRPr="003B5EBC" w:rsidRDefault="003B5EBC" w:rsidP="003B5EBC">
            <w:pPr>
              <w:widowControl/>
              <w:ind w:firstLineChars="150" w:firstLine="360"/>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安排2012年7个结转项目补贴资金187万元；</w:t>
            </w:r>
          </w:p>
          <w:p w:rsidR="003B5EBC" w:rsidRPr="003B5EBC" w:rsidRDefault="003B5EBC" w:rsidP="003B5EBC">
            <w:pPr>
              <w:widowControl/>
              <w:ind w:firstLineChars="150" w:firstLine="360"/>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安排2013年23个项目补贴资金781万元；</w:t>
            </w:r>
          </w:p>
          <w:p w:rsidR="003B5EBC" w:rsidRPr="003B5EBC" w:rsidRDefault="003B5EBC" w:rsidP="003B5EBC">
            <w:pPr>
              <w:widowControl/>
              <w:ind w:firstLineChars="150" w:firstLine="360"/>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共计1017万元</w:t>
            </w:r>
          </w:p>
        </w:tc>
        <w:tc>
          <w:tcPr>
            <w:tcW w:w="1701" w:type="dxa"/>
            <w:tcBorders>
              <w:top w:val="nil"/>
              <w:left w:val="nil"/>
              <w:bottom w:val="single" w:sz="4" w:space="0" w:color="auto"/>
              <w:right w:val="single" w:sz="4" w:space="0" w:color="auto"/>
            </w:tcBorders>
            <w:shd w:val="clear" w:color="auto" w:fill="auto"/>
            <w:vAlign w:val="center"/>
            <w:hideMark/>
          </w:tcPr>
          <w:p w:rsidR="003B5EBC" w:rsidRPr="003B5EBC" w:rsidRDefault="003B5EBC" w:rsidP="003B5EBC">
            <w:pPr>
              <w:widowControl/>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市发展改革委、市经济信息化委、市建设交通委、市商务委、市卫生计生委、市气象局</w:t>
            </w:r>
          </w:p>
        </w:tc>
        <w:tc>
          <w:tcPr>
            <w:tcW w:w="2346" w:type="dxa"/>
            <w:tcBorders>
              <w:top w:val="nil"/>
              <w:left w:val="nil"/>
              <w:bottom w:val="single" w:sz="4" w:space="0" w:color="auto"/>
              <w:right w:val="single" w:sz="8" w:space="0" w:color="auto"/>
            </w:tcBorders>
            <w:shd w:val="clear" w:color="auto" w:fill="auto"/>
            <w:vAlign w:val="center"/>
            <w:hideMark/>
          </w:tcPr>
          <w:p w:rsidR="003B5EBC" w:rsidRPr="003B5EBC" w:rsidRDefault="003B5EBC" w:rsidP="003B5EBC">
            <w:pPr>
              <w:widowControl/>
              <w:jc w:val="left"/>
              <w:rPr>
                <w:rFonts w:ascii="楷体_GB2312" w:eastAsia="楷体_GB2312" w:hAnsi="宋体" w:cs="宋体" w:hint="eastAsia"/>
                <w:color w:val="000000"/>
                <w:kern w:val="0"/>
                <w:sz w:val="24"/>
                <w:szCs w:val="24"/>
              </w:rPr>
            </w:pPr>
            <w:r w:rsidRPr="003B5EBC">
              <w:rPr>
                <w:rFonts w:ascii="楷体_GB2312" w:eastAsia="楷体_GB2312" w:hAnsi="宋体" w:cs="宋体" w:hint="eastAsia"/>
                <w:color w:val="000000"/>
                <w:kern w:val="0"/>
                <w:sz w:val="24"/>
                <w:szCs w:val="24"/>
              </w:rPr>
              <w:t>《上海市节能降耗和应对气候变化基础工作及能力建设资金使用管理办法》（</w:t>
            </w:r>
            <w:proofErr w:type="gramStart"/>
            <w:r w:rsidRPr="003B5EBC">
              <w:rPr>
                <w:rFonts w:ascii="楷体_GB2312" w:eastAsia="楷体_GB2312" w:hAnsi="宋体" w:cs="宋体" w:hint="eastAsia"/>
                <w:color w:val="000000"/>
                <w:kern w:val="0"/>
                <w:sz w:val="24"/>
                <w:szCs w:val="24"/>
              </w:rPr>
              <w:t>沪发改环</w:t>
            </w:r>
            <w:proofErr w:type="gramEnd"/>
            <w:r w:rsidRPr="003B5EBC">
              <w:rPr>
                <w:rFonts w:ascii="楷体_GB2312" w:eastAsia="楷体_GB2312" w:hAnsi="宋体" w:cs="宋体" w:hint="eastAsia"/>
                <w:color w:val="000000"/>
                <w:kern w:val="0"/>
                <w:sz w:val="24"/>
                <w:szCs w:val="24"/>
              </w:rPr>
              <w:t>资〔2011〕073号）</w:t>
            </w:r>
          </w:p>
        </w:tc>
      </w:tr>
      <w:tr w:rsidR="003B5EBC" w:rsidRPr="003B5EBC">
        <w:trPr>
          <w:trHeight w:val="626"/>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3B5EBC" w:rsidRPr="003B5EBC" w:rsidRDefault="003B5EBC" w:rsidP="003B5EBC">
            <w:pPr>
              <w:widowControl/>
              <w:jc w:val="center"/>
              <w:rPr>
                <w:rFonts w:ascii="楷体_GB2312" w:eastAsia="楷体_GB2312" w:hAnsi="宋体" w:cs="宋体" w:hint="eastAsia"/>
                <w:b/>
                <w:color w:val="000000"/>
                <w:kern w:val="0"/>
                <w:sz w:val="24"/>
                <w:szCs w:val="24"/>
              </w:rPr>
            </w:pPr>
            <w:r w:rsidRPr="003B5EBC">
              <w:rPr>
                <w:rFonts w:ascii="楷体_GB2312" w:eastAsia="楷体_GB2312" w:hAnsi="宋体" w:cs="宋体" w:hint="eastAsia"/>
                <w:b/>
                <w:color w:val="000000"/>
                <w:kern w:val="0"/>
                <w:sz w:val="24"/>
                <w:szCs w:val="24"/>
              </w:rPr>
              <w:t>小计</w:t>
            </w:r>
          </w:p>
        </w:tc>
        <w:tc>
          <w:tcPr>
            <w:tcW w:w="1588" w:type="dxa"/>
            <w:tcBorders>
              <w:top w:val="nil"/>
              <w:left w:val="nil"/>
              <w:bottom w:val="single" w:sz="8" w:space="0" w:color="auto"/>
              <w:right w:val="single" w:sz="4" w:space="0" w:color="auto"/>
            </w:tcBorders>
            <w:shd w:val="clear" w:color="auto" w:fill="auto"/>
            <w:noWrap/>
            <w:vAlign w:val="center"/>
            <w:hideMark/>
          </w:tcPr>
          <w:p w:rsidR="003B5EBC" w:rsidRPr="003B5EBC" w:rsidRDefault="003B5EBC" w:rsidP="003B5EBC">
            <w:pPr>
              <w:widowControl/>
              <w:jc w:val="left"/>
              <w:rPr>
                <w:rFonts w:ascii="楷体_GB2312" w:eastAsia="楷体_GB2312" w:hAnsi="宋体" w:cs="宋体" w:hint="eastAsia"/>
                <w:b/>
                <w:color w:val="000000"/>
                <w:kern w:val="0"/>
                <w:sz w:val="24"/>
                <w:szCs w:val="24"/>
              </w:rPr>
            </w:pPr>
            <w:r w:rsidRPr="003B5EBC">
              <w:rPr>
                <w:rFonts w:ascii="楷体_GB2312" w:eastAsia="楷体_GB2312" w:hAnsi="宋体" w:cs="宋体" w:hint="eastAsia"/>
                <w:b/>
                <w:color w:val="000000"/>
                <w:kern w:val="0"/>
                <w:sz w:val="24"/>
                <w:szCs w:val="24"/>
              </w:rPr>
              <w:t xml:space="preserve">　</w:t>
            </w:r>
          </w:p>
        </w:tc>
        <w:tc>
          <w:tcPr>
            <w:tcW w:w="1143" w:type="dxa"/>
            <w:tcBorders>
              <w:top w:val="nil"/>
              <w:left w:val="nil"/>
              <w:bottom w:val="single" w:sz="8" w:space="0" w:color="auto"/>
              <w:right w:val="single" w:sz="4" w:space="0" w:color="auto"/>
            </w:tcBorders>
            <w:shd w:val="clear" w:color="auto" w:fill="auto"/>
            <w:noWrap/>
            <w:vAlign w:val="center"/>
            <w:hideMark/>
          </w:tcPr>
          <w:p w:rsidR="003B5EBC" w:rsidRPr="003B5EBC" w:rsidRDefault="003B5EBC" w:rsidP="003B5EBC">
            <w:pPr>
              <w:widowControl/>
              <w:jc w:val="center"/>
              <w:rPr>
                <w:rFonts w:ascii="楷体_GB2312" w:eastAsia="楷体_GB2312" w:hAnsi="宋体" w:cs="宋体" w:hint="eastAsia"/>
                <w:b/>
                <w:color w:val="000000"/>
                <w:kern w:val="0"/>
                <w:sz w:val="24"/>
                <w:szCs w:val="24"/>
              </w:rPr>
            </w:pPr>
            <w:r w:rsidRPr="003B5EBC">
              <w:rPr>
                <w:rFonts w:ascii="楷体_GB2312" w:eastAsia="楷体_GB2312" w:hAnsi="宋体" w:cs="宋体" w:hint="eastAsia"/>
                <w:b/>
                <w:color w:val="000000"/>
                <w:kern w:val="0"/>
                <w:sz w:val="24"/>
                <w:szCs w:val="24"/>
              </w:rPr>
              <w:t>13368</w:t>
            </w:r>
          </w:p>
        </w:tc>
        <w:tc>
          <w:tcPr>
            <w:tcW w:w="3118" w:type="dxa"/>
            <w:tcBorders>
              <w:top w:val="nil"/>
              <w:left w:val="nil"/>
              <w:bottom w:val="single" w:sz="8" w:space="0" w:color="auto"/>
              <w:right w:val="single" w:sz="4" w:space="0" w:color="auto"/>
            </w:tcBorders>
            <w:shd w:val="clear" w:color="auto" w:fill="auto"/>
            <w:noWrap/>
            <w:vAlign w:val="center"/>
            <w:hideMark/>
          </w:tcPr>
          <w:p w:rsidR="003B5EBC" w:rsidRPr="003B5EBC" w:rsidRDefault="003B5EBC" w:rsidP="003B5EBC">
            <w:pPr>
              <w:widowControl/>
              <w:jc w:val="left"/>
              <w:rPr>
                <w:rFonts w:ascii="楷体_GB2312" w:eastAsia="楷体_GB2312" w:hAnsi="宋体" w:cs="宋体" w:hint="eastAsia"/>
                <w:b/>
                <w:color w:val="000000"/>
                <w:kern w:val="0"/>
                <w:sz w:val="24"/>
                <w:szCs w:val="24"/>
              </w:rPr>
            </w:pPr>
            <w:r w:rsidRPr="003B5EBC">
              <w:rPr>
                <w:rFonts w:ascii="楷体_GB2312" w:eastAsia="楷体_GB2312" w:hAnsi="宋体" w:cs="宋体" w:hint="eastAsia"/>
                <w:b/>
                <w:color w:val="000000"/>
                <w:kern w:val="0"/>
                <w:sz w:val="24"/>
                <w:szCs w:val="24"/>
              </w:rPr>
              <w:t xml:space="preserve">　</w:t>
            </w:r>
          </w:p>
        </w:tc>
        <w:tc>
          <w:tcPr>
            <w:tcW w:w="1701" w:type="dxa"/>
            <w:tcBorders>
              <w:top w:val="nil"/>
              <w:left w:val="nil"/>
              <w:bottom w:val="single" w:sz="8" w:space="0" w:color="auto"/>
              <w:right w:val="single" w:sz="4" w:space="0" w:color="auto"/>
            </w:tcBorders>
            <w:shd w:val="clear" w:color="auto" w:fill="auto"/>
            <w:noWrap/>
            <w:vAlign w:val="center"/>
            <w:hideMark/>
          </w:tcPr>
          <w:p w:rsidR="003B5EBC" w:rsidRPr="003B5EBC" w:rsidRDefault="003B5EBC" w:rsidP="003B5EBC">
            <w:pPr>
              <w:widowControl/>
              <w:jc w:val="left"/>
              <w:rPr>
                <w:rFonts w:ascii="楷体_GB2312" w:eastAsia="楷体_GB2312" w:hAnsi="宋体" w:cs="宋体" w:hint="eastAsia"/>
                <w:b/>
                <w:color w:val="000000"/>
                <w:kern w:val="0"/>
                <w:sz w:val="24"/>
                <w:szCs w:val="24"/>
              </w:rPr>
            </w:pPr>
            <w:r w:rsidRPr="003B5EBC">
              <w:rPr>
                <w:rFonts w:ascii="楷体_GB2312" w:eastAsia="楷体_GB2312" w:hAnsi="宋体" w:cs="宋体" w:hint="eastAsia"/>
                <w:b/>
                <w:color w:val="000000"/>
                <w:kern w:val="0"/>
                <w:sz w:val="24"/>
                <w:szCs w:val="24"/>
              </w:rPr>
              <w:t xml:space="preserve">　</w:t>
            </w:r>
          </w:p>
        </w:tc>
        <w:tc>
          <w:tcPr>
            <w:tcW w:w="2346" w:type="dxa"/>
            <w:tcBorders>
              <w:top w:val="nil"/>
              <w:left w:val="nil"/>
              <w:bottom w:val="single" w:sz="8" w:space="0" w:color="auto"/>
              <w:right w:val="single" w:sz="8" w:space="0" w:color="auto"/>
            </w:tcBorders>
            <w:shd w:val="clear" w:color="auto" w:fill="auto"/>
            <w:noWrap/>
            <w:vAlign w:val="center"/>
            <w:hideMark/>
          </w:tcPr>
          <w:p w:rsidR="003B5EBC" w:rsidRPr="003B5EBC" w:rsidRDefault="003B5EBC" w:rsidP="003B5EBC">
            <w:pPr>
              <w:widowControl/>
              <w:jc w:val="left"/>
              <w:rPr>
                <w:rFonts w:ascii="楷体_GB2312" w:eastAsia="楷体_GB2312" w:hAnsi="宋体" w:cs="宋体" w:hint="eastAsia"/>
                <w:b/>
                <w:color w:val="000000"/>
                <w:kern w:val="0"/>
                <w:sz w:val="24"/>
                <w:szCs w:val="24"/>
              </w:rPr>
            </w:pPr>
            <w:r w:rsidRPr="003B5EBC">
              <w:rPr>
                <w:rFonts w:ascii="楷体_GB2312" w:eastAsia="楷体_GB2312" w:hAnsi="宋体" w:cs="宋体" w:hint="eastAsia"/>
                <w:b/>
                <w:color w:val="000000"/>
                <w:kern w:val="0"/>
                <w:sz w:val="24"/>
                <w:szCs w:val="24"/>
              </w:rPr>
              <w:t xml:space="preserve">　</w:t>
            </w:r>
          </w:p>
        </w:tc>
      </w:tr>
    </w:tbl>
    <w:p w:rsidR="000B715E" w:rsidRPr="003B5EBC" w:rsidRDefault="003B5EBC" w:rsidP="003B5EBC">
      <w:r w:rsidRPr="003B5EBC">
        <w:rPr>
          <w:rFonts w:ascii="宋体" w:eastAsia="宋体" w:hAnsi="宋体" w:cs="宋体"/>
          <w:color w:val="000000"/>
          <w:kern w:val="0"/>
          <w:szCs w:val="21"/>
        </w:rPr>
        <w:t> </w:t>
      </w:r>
      <w:bookmarkStart w:id="0" w:name="_GoBack"/>
      <w:bookmarkEnd w:id="0"/>
    </w:p>
    <w:sectPr w:rsidR="000B715E" w:rsidRPr="003B5E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E1"/>
    <w:rsid w:val="000B715E"/>
    <w:rsid w:val="003B5EBC"/>
    <w:rsid w:val="00BC78E1"/>
    <w:rsid w:val="00FA3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FB621-6271-4848-A74C-9DE947F7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赵然</dc:creator>
  <cp:keywords/>
  <dc:description/>
  <cp:lastModifiedBy>赵然</cp:lastModifiedBy>
  <cp:revision>4</cp:revision>
  <dcterms:created xsi:type="dcterms:W3CDTF">2014-09-29T05:58:00Z</dcterms:created>
  <dcterms:modified xsi:type="dcterms:W3CDTF">2014-09-29T06:02:00Z</dcterms:modified>
</cp:coreProperties>
</file>